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2：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2020 年湖南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财政经济学院校级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课程思政建设研究项目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立项项目汇总表</w:t>
      </w:r>
    </w:p>
    <w:tbl>
      <w:tblPr>
        <w:tblStyle w:val="2"/>
        <w:tblpPr w:leftFromText="180" w:rightFromText="180" w:vertAnchor="text" w:horzAnchor="page" w:tblpX="1368" w:tblpY="754"/>
        <w:tblOverlap w:val="never"/>
        <w:tblW w:w="1398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935"/>
        <w:gridCol w:w="4830"/>
        <w:gridCol w:w="1320"/>
        <w:gridCol w:w="1050"/>
        <w:gridCol w:w="2645"/>
        <w:gridCol w:w="15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立项编号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　目　名　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参加人员(不超过7人)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2020KCSZ01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大学体育课程思政体系构建研究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伟  范才清  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综合研究类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2020KCSZ01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隐性教育视角下的高校课程思政建设研究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肖平飞   肖红芳   廖勤思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综合研究类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A45CA"/>
    <w:rsid w:val="47EA45CA"/>
    <w:rsid w:val="6A97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2020-09-29T03:09:00Z</dcterms:created>
  <dc:creator>刘莹</dc:creator>
  <cp:lastModifiedBy>刘莹</cp:lastModifiedBy>
  <dcterms:modified xsi:type="dcterms:W3CDTF">2020-09-29T03:21:47Z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